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before="1440"/>
        <w:jc w:val="center"/>
      </w:pPr>
      <w:r>
        <w:rPr>
          <w:rFonts w:ascii="Calibri" w:cs="Calibri" w:eastAsia="Calibri" w:hAnsi="Calibri"/>
          <w:b/>
          <w:bCs/>
          <w:color w:val="1E40AF"/>
          <w:sz w:val="80"/>
          <w:szCs w:val="80"/>
        </w:rPr>
        <w:t xml:space="preserve">DEcentAI</w:t>
      </w:r>
    </w:p>
    <w:p>
      <w:pPr>
        <w:spacing w:after="200" w:before="0"/>
        <w:jc w:val="center"/>
      </w:pPr>
      <w:r>
        <w:rPr>
          <w:rFonts w:ascii="Calibri" w:cs="Calibri" w:eastAsia="Calibri" w:hAnsi="Calibri"/>
          <w:color w:val="0891B2"/>
          <w:sz w:val="36"/>
          <w:szCs w:val="36"/>
        </w:rPr>
        <w:t xml:space="preserve">Whitepaper v1.0</w:t>
      </w:r>
    </w:p>
    <w:p>
      <w:pPr>
        <w:spacing w:after="800" w:before="0"/>
        <w:jc w:val="center"/>
      </w:pPr>
      <w:r>
        <w:rPr>
          <w:rFonts w:ascii="Calibri" w:cs="Calibri" w:eastAsia="Calibri" w:hAnsi="Calibri"/>
          <w:color w:val="6B7280"/>
          <w:sz w:val="24"/>
          <w:szCs w:val="24"/>
        </w:rPr>
        <w:t xml:space="preserve">Decentralized AI Compute Network — April 2026</w:t>
      </w:r>
    </w:p>
    <w:p>
      <w:r>
        <w:t xml:space="preserve"/>
      </w:r>
    </w:p>
    <w:p>
      <w:pPr>
        <w:pStyle w:val="Heading1"/>
        <w:spacing w:after="200" w:before="400"/>
      </w:pPr>
      <w:r>
        <w:rPr>
          <w:rFonts w:ascii="Calibri" w:cs="Calibri" w:eastAsia="Calibri" w:hAnsi="Calibri"/>
          <w:b/>
          <w:bCs/>
          <w:color w:val="1E40AF"/>
          <w:sz w:val="40"/>
          <w:szCs w:val="40"/>
        </w:rPr>
        <w:t xml:space="preserve">1. Abstract</w:t>
      </w:r>
    </w:p>
    <w:p>
      <w:pPr>
        <w:spacing w:after="80" w:before="80"/>
        <w:jc w:val="both"/>
      </w:pPr>
      <w:r>
        <w:rPr>
          <w:rFonts w:ascii="Calibri" w:cs="Calibri" w:eastAsia="Calibri" w:hAnsi="Calibri"/>
          <w:color w:val="1F2937"/>
          <w:sz w:val="22"/>
          <w:szCs w:val="22"/>
        </w:rPr>
        <w:t xml:space="preserve">DEcentAI is a decentralized peer-to-peer AI compute marketplace built on the Solana blockchain. It enables anyone with a personal computer to become an AI compute provider, earning DECNT tokens for processing user queries — while giving users private, pay-per-prompt access to AI models without monthly subscriptions or data harvesting.</w:t>
      </w:r>
    </w:p>
    <w:p>
      <w:pPr>
        <w:spacing w:after="80" w:before="80"/>
        <w:jc w:val="both"/>
      </w:pPr>
      <w:r>
        <w:rPr>
          <w:rFonts w:ascii="Calibri" w:cs="Calibri" w:eastAsia="Calibri" w:hAnsi="Calibri"/>
          <w:color w:val="1F2937"/>
          <w:sz w:val="22"/>
          <w:szCs w:val="22"/>
        </w:rPr>
        <w:t xml:space="preserve">The DECNT token (ticker: DECNT, total supply: 1,000,000,000) is a True Utility Token: its value is directly anchored to real demand for AI computation, not speculation.</w:t>
      </w:r>
    </w:p>
    <w:p>
      <w:r>
        <w:t xml:space="preserve"/>
      </w:r>
    </w:p>
    <w:p>
      <w:pPr>
        <w:pStyle w:val="Heading1"/>
        <w:spacing w:after="200" w:before="400"/>
      </w:pPr>
      <w:r>
        <w:rPr>
          <w:rFonts w:ascii="Calibri" w:cs="Calibri" w:eastAsia="Calibri" w:hAnsi="Calibri"/>
          <w:b/>
          <w:bCs/>
          <w:color w:val="1E40AF"/>
          <w:sz w:val="40"/>
          <w:szCs w:val="40"/>
        </w:rPr>
        <w:t xml:space="preserve">2. The Problem with Centralized AI</w:t>
      </w:r>
    </w:p>
    <w:p>
      <w:pPr>
        <w:pStyle w:val="Heading2"/>
        <w:spacing w:after="160" w:before="300"/>
      </w:pPr>
      <w:r>
        <w:rPr>
          <w:rFonts w:ascii="Calibri" w:cs="Calibri" w:eastAsia="Calibri" w:hAnsi="Calibri"/>
          <w:b/>
          <w:bCs/>
          <w:color w:val="0891B2"/>
          <w:sz w:val="30"/>
          <w:szCs w:val="30"/>
        </w:rPr>
        <w:t xml:space="preserve">2.1 Privacy Erosion</w:t>
      </w:r>
    </w:p>
    <w:p>
      <w:pPr>
        <w:spacing w:after="80" w:before="80"/>
        <w:jc w:val="both"/>
      </w:pPr>
      <w:r>
        <w:rPr>
          <w:rFonts w:ascii="Calibri" w:cs="Calibri" w:eastAsia="Calibri" w:hAnsi="Calibri"/>
          <w:color w:val="1F2937"/>
          <w:sz w:val="22"/>
          <w:szCs w:val="22"/>
        </w:rPr>
        <w:t xml:space="preserve">Every query sent to a centralized AI provider — OpenAI, Google, Anthropic, Meta — is processed on servers owned by that corporation. Users have no guarantee their data is not logged, analyzed, or used to train future models. The terms of service of every major AI provider explicitly permit data retention.</w:t>
      </w:r>
    </w:p>
    <w:p>
      <w:pPr>
        <w:pStyle w:val="Heading2"/>
        <w:spacing w:after="160" w:before="300"/>
      </w:pPr>
      <w:r>
        <w:rPr>
          <w:rFonts w:ascii="Calibri" w:cs="Calibri" w:eastAsia="Calibri" w:hAnsi="Calibri"/>
          <w:b/>
          <w:bCs/>
          <w:color w:val="0891B2"/>
          <w:sz w:val="30"/>
          <w:szCs w:val="30"/>
        </w:rPr>
        <w:t xml:space="preserve">2.2 Monopolization of Compute</w:t>
      </w:r>
    </w:p>
    <w:p>
      <w:pPr>
        <w:spacing w:after="80" w:before="80"/>
        <w:jc w:val="both"/>
      </w:pPr>
      <w:r>
        <w:rPr>
          <w:rFonts w:ascii="Calibri" w:cs="Calibri" w:eastAsia="Calibri" w:hAnsi="Calibri"/>
          <w:color w:val="1F2937"/>
          <w:sz w:val="22"/>
          <w:szCs w:val="22"/>
        </w:rPr>
        <w:t xml:space="preserve">The AI industry has consolidated around a handful of data centers. Three companies control over 70% of the AI inference market. This creates systemic risk, pricing power abuse, and a single point of censorship.</w:t>
      </w:r>
    </w:p>
    <w:p>
      <w:pPr>
        <w:pStyle w:val="Heading2"/>
        <w:spacing w:after="160" w:before="300"/>
      </w:pPr>
      <w:r>
        <w:rPr>
          <w:rFonts w:ascii="Calibri" w:cs="Calibri" w:eastAsia="Calibri" w:hAnsi="Calibri"/>
          <w:b/>
          <w:bCs/>
          <w:color w:val="0891B2"/>
          <w:sz w:val="30"/>
          <w:szCs w:val="30"/>
        </w:rPr>
        <w:t xml:space="preserve">2.3 Inefficient Pricing</w:t>
      </w:r>
    </w:p>
    <w:p>
      <w:pPr>
        <w:spacing w:after="80" w:before="80"/>
        <w:jc w:val="both"/>
      </w:pPr>
      <w:r>
        <w:rPr>
          <w:rFonts w:ascii="Calibri" w:cs="Calibri" w:eastAsia="Calibri" w:hAnsi="Calibri"/>
          <w:color w:val="1F2937"/>
          <w:sz w:val="22"/>
          <w:szCs w:val="22"/>
        </w:rPr>
        <w:t xml:space="preserve">Monthly subscription models ($20–$200/month) are divorced from actual usage. A user who sends 10 prompts per week pays the same as one who sends 1,000. This is economically irrational and locks out casual users from AI access.</w:t>
      </w:r>
    </w:p>
    <w:p>
      <w:pPr>
        <w:pStyle w:val="Heading2"/>
        <w:spacing w:after="160" w:before="300"/>
      </w:pPr>
      <w:r>
        <w:rPr>
          <w:rFonts w:ascii="Calibri" w:cs="Calibri" w:eastAsia="Calibri" w:hAnsi="Calibri"/>
          <w:b/>
          <w:bCs/>
          <w:color w:val="0891B2"/>
          <w:sz w:val="30"/>
          <w:szCs w:val="30"/>
        </w:rPr>
        <w:t xml:space="preserve">2.4 Idle Compute Waste</w:t>
      </w:r>
    </w:p>
    <w:p>
      <w:pPr>
        <w:spacing w:after="80" w:before="80"/>
        <w:jc w:val="both"/>
      </w:pPr>
      <w:r>
        <w:rPr>
          <w:rFonts w:ascii="Calibri" w:cs="Calibri" w:eastAsia="Calibri" w:hAnsi="Calibri"/>
          <w:color w:val="1F2937"/>
          <w:sz w:val="22"/>
          <w:szCs w:val="22"/>
        </w:rPr>
        <w:t xml:space="preserve">An estimated 99% of consumer GPU time sits idle. Gaming PCs, workstations, and home servers collectively represent petaflops of untapped AI inference capacity — earning their owners nothing.</w:t>
      </w:r>
    </w:p>
    <w:p>
      <w:r>
        <w:t xml:space="preserve"/>
      </w:r>
    </w:p>
    <w:p>
      <w:pPr>
        <w:pStyle w:val="Heading1"/>
        <w:spacing w:after="200" w:before="400"/>
      </w:pPr>
      <w:r>
        <w:rPr>
          <w:rFonts w:ascii="Calibri" w:cs="Calibri" w:eastAsia="Calibri" w:hAnsi="Calibri"/>
          <w:b/>
          <w:bCs/>
          <w:color w:val="1E40AF"/>
          <w:sz w:val="40"/>
          <w:szCs w:val="40"/>
        </w:rPr>
        <w:t xml:space="preserve">3. The DEcentAI Solution</w:t>
      </w:r>
    </w:p>
    <w:p>
      <w:pPr>
        <w:pStyle w:val="Heading2"/>
        <w:spacing w:after="160" w:before="300"/>
      </w:pPr>
      <w:r>
        <w:rPr>
          <w:rFonts w:ascii="Calibri" w:cs="Calibri" w:eastAsia="Calibri" w:hAnsi="Calibri"/>
          <w:b/>
          <w:bCs/>
          <w:color w:val="0891B2"/>
          <w:sz w:val="30"/>
          <w:szCs w:val="30"/>
        </w:rPr>
        <w:t xml:space="preserve">3.1 One-to-One Connection Model</w:t>
      </w:r>
    </w:p>
    <w:p>
      <w:pPr>
        <w:spacing w:after="80" w:before="80"/>
        <w:jc w:val="both"/>
      </w:pPr>
      <w:r>
        <w:rPr>
          <w:rFonts w:ascii="Calibri" w:cs="Calibri" w:eastAsia="Calibri" w:hAnsi="Calibri"/>
          <w:color w:val="1F2937"/>
          <w:sz w:val="22"/>
          <w:szCs w:val="22"/>
        </w:rPr>
        <w:t xml:space="preserve">DEcentAI implements a structural privacy model: each user session connects exclusively to one host machine. No prompt is processed by a shared server farm. The conversation exists only between the user and the host — not a corporation.</w:t>
      </w:r>
    </w:p>
    <w:p>
      <w:pPr>
        <w:pStyle w:val="Heading2"/>
        <w:spacing w:after="160" w:before="300"/>
      </w:pPr>
      <w:r>
        <w:rPr>
          <w:rFonts w:ascii="Calibri" w:cs="Calibri" w:eastAsia="Calibri" w:hAnsi="Calibri"/>
          <w:b/>
          <w:bCs/>
          <w:color w:val="0891B2"/>
          <w:sz w:val="30"/>
          <w:szCs w:val="30"/>
        </w:rPr>
        <w:t xml:space="preserve">3.2 The dcentai-runtime</w:t>
      </w:r>
    </w:p>
    <w:p>
      <w:pPr>
        <w:spacing w:after="80" w:before="80"/>
        <w:jc w:val="both"/>
      </w:pPr>
      <w:r>
        <w:rPr>
          <w:rFonts w:ascii="Calibri" w:cs="Calibri" w:eastAsia="Calibri" w:hAnsi="Calibri"/>
          <w:color w:val="1F2937"/>
          <w:sz w:val="22"/>
          <w:szCs w:val="22"/>
        </w:rPr>
        <w:t xml:space="preserve">DEcentAI's proprietary inference engine replaces commercial alternatives like Ollama, providing model integrity verification via SHA-256 hashing, hardware attestation via TPM2/SGX/AMD SEV, and HMAC-signed cryptographic proof of runtime authenticity.</w:t>
      </w:r>
    </w:p>
    <w:p>
      <w:r>
        <w:t xml:space="preserve"/>
      </w:r>
    </w:p>
    <w:p>
      <w:pPr>
        <w:pStyle w:val="Heading1"/>
        <w:spacing w:after="200" w:before="400"/>
      </w:pPr>
      <w:r>
        <w:rPr>
          <w:rFonts w:ascii="Calibri" w:cs="Calibri" w:eastAsia="Calibri" w:hAnsi="Calibri"/>
          <w:b/>
          <w:bCs/>
          <w:color w:val="1E40AF"/>
          <w:sz w:val="40"/>
          <w:szCs w:val="40"/>
        </w:rPr>
        <w:t xml:space="preserve">4. Tokenomics</w:t>
      </w:r>
    </w:p>
    <w:p>
      <w:pPr>
        <w:pStyle w:val="Heading2"/>
        <w:spacing w:after="160" w:before="300"/>
      </w:pPr>
      <w:r>
        <w:rPr>
          <w:rFonts w:ascii="Calibri" w:cs="Calibri" w:eastAsia="Calibri" w:hAnsi="Calibri"/>
          <w:b/>
          <w:bCs/>
          <w:color w:val="0891B2"/>
          <w:sz w:val="30"/>
          <w:szCs w:val="30"/>
        </w:rPr>
        <w:t xml:space="preserve">4.1 Token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pPr>
              <w:jc w:val="left"/>
            </w:pPr>
            <w:r>
              <w:rPr>
                <w:rFonts w:ascii="Calibri" w:cs="Calibri" w:eastAsia="Calibri" w:hAnsi="Calibri"/>
                <w:b/>
                <w:bCs/>
                <w:color w:val="FFFFFF"/>
                <w:sz w:val="20"/>
                <w:szCs w:val="20"/>
              </w:rPr>
              <w:t xml:space="preserve">Parameter</w:t>
            </w:r>
          </w:p>
        </w:tc>
        <w:tc>
          <w:tcPr>
            <w:tcW w:type="dxa" w:w="468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pPr>
              <w:jc w:val="left"/>
            </w:pPr>
            <w:r>
              <w:rPr>
                <w:rFonts w:ascii="Calibri" w:cs="Calibri" w:eastAsia="Calibri" w:hAnsi="Calibri"/>
                <w:b/>
                <w:bCs/>
                <w:color w:val="FFFFFF"/>
                <w:sz w:val="20"/>
                <w:szCs w:val="20"/>
              </w:rPr>
              <w:t xml:space="preserve">Value</w:t>
            </w:r>
          </w:p>
        </w:tc>
      </w:tr>
      <w:tr>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Token Name</w:t>
            </w:r>
          </w:p>
        </w:tc>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DEcentAI</w:t>
            </w:r>
          </w:p>
        </w:tc>
      </w:tr>
      <w:tr>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Ticker</w:t>
            </w:r>
          </w:p>
        </w:tc>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DECNT</w:t>
            </w:r>
          </w:p>
        </w:tc>
      </w:tr>
      <w:tr>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Blockchain</w:t>
            </w:r>
          </w:p>
        </w:tc>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Solana (SPL)</w:t>
            </w:r>
          </w:p>
        </w:tc>
      </w:tr>
      <w:tr>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Total Supply</w:t>
            </w:r>
          </w:p>
        </w:tc>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1,000,000,000 DECNT</w:t>
            </w:r>
          </w:p>
        </w:tc>
      </w:tr>
      <w:tr>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Decimals</w:t>
            </w:r>
          </w:p>
        </w:tc>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9</w:t>
            </w:r>
          </w:p>
        </w:tc>
      </w:tr>
    </w:tbl>
    <w:p>
      <w:r>
        <w:t xml:space="preserve"/>
      </w:r>
    </w:p>
    <w:p>
      <w:pPr>
        <w:pStyle w:val="Heading2"/>
        <w:spacing w:after="160" w:before="300"/>
      </w:pPr>
      <w:r>
        <w:rPr>
          <w:rFonts w:ascii="Calibri" w:cs="Calibri" w:eastAsia="Calibri" w:hAnsi="Calibri"/>
          <w:b/>
          <w:bCs/>
          <w:color w:val="0891B2"/>
          <w:sz w:val="30"/>
          <w:szCs w:val="30"/>
        </w:rPr>
        <w:t xml:space="preserve">4.2 Token Distribution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pPr>
              <w:jc w:val="left"/>
            </w:pPr>
            <w:r>
              <w:rPr>
                <w:rFonts w:ascii="Calibri" w:cs="Calibri" w:eastAsia="Calibri" w:hAnsi="Calibri"/>
                <w:b/>
                <w:bCs/>
                <w:color w:val="FFFFFF"/>
                <w:sz w:val="20"/>
                <w:szCs w:val="20"/>
              </w:rPr>
              <w:t xml:space="preserve">Allocation</w:t>
            </w:r>
          </w:p>
        </w:tc>
        <w:tc>
          <w:tcPr>
            <w:tcW w:type="dxa" w:w="312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pPr>
              <w:jc w:val="left"/>
            </w:pPr>
            <w:r>
              <w:rPr>
                <w:rFonts w:ascii="Calibri" w:cs="Calibri" w:eastAsia="Calibri" w:hAnsi="Calibri"/>
                <w:b/>
                <w:bCs/>
                <w:color w:val="FFFFFF"/>
                <w:sz w:val="20"/>
                <w:szCs w:val="20"/>
              </w:rPr>
              <w:t xml:space="preserve">Amount</w:t>
            </w:r>
          </w:p>
        </w:tc>
        <w:tc>
          <w:tcPr>
            <w:tcW w:type="dxa" w:w="312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pPr>
              <w:jc w:val="left"/>
            </w:pPr>
            <w:r>
              <w:rPr>
                <w:rFonts w:ascii="Calibri" w:cs="Calibri" w:eastAsia="Calibri" w:hAnsi="Calibri"/>
                <w:b/>
                <w:bCs/>
                <w:color w:val="FFFFFF"/>
                <w:sz w:val="20"/>
                <w:szCs w:val="20"/>
              </w:rPr>
              <w:t xml:space="preserve">Percentage</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ICO</w:t>
            </w:r>
          </w:p>
        </w:tc>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800,000,000</w:t>
            </w:r>
          </w:p>
        </w:tc>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80%</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Pre-ICO</w:t>
            </w:r>
          </w:p>
        </w:tc>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100,000,000</w:t>
            </w:r>
          </w:p>
        </w:tc>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10%</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Team &amp; Advisors</w:t>
            </w:r>
          </w:p>
        </w:tc>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50,000,000</w:t>
            </w:r>
          </w:p>
        </w:tc>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5%</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Ecosystem</w:t>
            </w:r>
          </w:p>
        </w:tc>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29,000,000</w:t>
            </w:r>
          </w:p>
        </w:tc>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2.9%</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Reserve / Liquidity</w:t>
            </w:r>
          </w:p>
        </w:tc>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20,000,000</w:t>
            </w:r>
          </w:p>
        </w:tc>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2%</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Airdrop</w:t>
            </w:r>
          </w:p>
        </w:tc>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1,000,000</w:t>
            </w:r>
          </w:p>
        </w:tc>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0.1%</w:t>
            </w:r>
          </w:p>
        </w:tc>
      </w:tr>
    </w:tbl>
    <w:p>
      <w:r>
        <w:t xml:space="preserve"/>
      </w:r>
    </w:p>
    <w:p>
      <w:pPr>
        <w:pStyle w:val="Heading2"/>
        <w:spacing w:after="160" w:before="300"/>
      </w:pPr>
      <w:r>
        <w:rPr>
          <w:rFonts w:ascii="Calibri" w:cs="Calibri" w:eastAsia="Calibri" w:hAnsi="Calibri"/>
          <w:b/>
          <w:bCs/>
          <w:color w:val="0891B2"/>
          <w:sz w:val="30"/>
          <w:szCs w:val="30"/>
        </w:rPr>
        <w:t xml:space="preserve">4.3 ICO Pricing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pPr>
              <w:jc w:val="left"/>
            </w:pPr>
            <w:r>
              <w:rPr>
                <w:rFonts w:ascii="Calibri" w:cs="Calibri" w:eastAsia="Calibri" w:hAnsi="Calibri"/>
                <w:b/>
                <w:bCs/>
                <w:color w:val="FFFFFF"/>
                <w:sz w:val="20"/>
                <w:szCs w:val="20"/>
              </w:rPr>
              <w:t xml:space="preserve">Stage</w:t>
            </w:r>
          </w:p>
        </w:tc>
        <w:tc>
          <w:tcPr>
            <w:tcW w:type="dxa" w:w="312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pPr>
              <w:jc w:val="left"/>
            </w:pPr>
            <w:r>
              <w:rPr>
                <w:rFonts w:ascii="Calibri" w:cs="Calibri" w:eastAsia="Calibri" w:hAnsi="Calibri"/>
                <w:b/>
                <w:bCs/>
                <w:color w:val="FFFFFF"/>
                <w:sz w:val="20"/>
                <w:szCs w:val="20"/>
              </w:rPr>
              <w:t xml:space="preserve">Price</w:t>
            </w:r>
          </w:p>
        </w:tc>
        <w:tc>
          <w:tcPr>
            <w:tcW w:type="dxa" w:w="312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pPr>
              <w:jc w:val="left"/>
            </w:pPr>
            <w:r>
              <w:rPr>
                <w:rFonts w:ascii="Calibri" w:cs="Calibri" w:eastAsia="Calibri" w:hAnsi="Calibri"/>
                <w:b/>
                <w:bCs/>
                <w:color w:val="FFFFFF"/>
                <w:sz w:val="20"/>
                <w:szCs w:val="20"/>
              </w:rPr>
              <w:t xml:space="preserve">Supply</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Airdrop</w:t>
            </w:r>
          </w:p>
        </w:tc>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Free (task-based)</w:t>
            </w:r>
          </w:p>
        </w:tc>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1,000,000 DECNT</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Pre-ICO</w:t>
            </w:r>
          </w:p>
        </w:tc>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1 SOL = 100 DECNT</w:t>
            </w:r>
          </w:p>
        </w:tc>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100,000,000 DECNT</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ICO</w:t>
            </w:r>
          </w:p>
        </w:tc>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1 SOL = 100 DECNT</w:t>
            </w:r>
          </w:p>
        </w:tc>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800,000,000 DECNT</w:t>
            </w:r>
          </w:p>
        </w:tc>
      </w:tr>
    </w:tbl>
    <w:p>
      <w:r>
        <w:t xml:space="preserve"/>
      </w:r>
    </w:p>
    <w:p>
      <w:pPr>
        <w:pStyle w:val="Heading1"/>
        <w:spacing w:after="200" w:before="400"/>
      </w:pPr>
      <w:r>
        <w:rPr>
          <w:rFonts w:ascii="Calibri" w:cs="Calibri" w:eastAsia="Calibri" w:hAnsi="Calibri"/>
          <w:b/>
          <w:bCs/>
          <w:color w:val="1E40AF"/>
          <w:sz w:val="40"/>
          <w:szCs w:val="40"/>
        </w:rPr>
        <w:t xml:space="preserve">5. Hardware Support</w:t>
      </w:r>
    </w:p>
    <w:p>
      <w:pPr>
        <w:spacing w:after="80" w:before="80"/>
        <w:jc w:val="both"/>
      </w:pPr>
      <w:r>
        <w:rPr>
          <w:rFonts w:ascii="Calibri" w:cs="Calibri" w:eastAsia="Calibri" w:hAnsi="Calibri"/>
          <w:color w:val="1F2937"/>
          <w:sz w:val="22"/>
          <w:szCs w:val="22"/>
        </w:rPr>
        <w:t xml:space="preserve">DEcentAI auto-detects provider hardware and recommends appropriate models. The minimum viable performance is 5 tokens per second.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840"/>
        <w:gridCol w:w="2400"/>
      </w:tblGrid>
      <w:tr>
        <w:tc>
          <w:tcPr>
            <w:tcW w:type="dxa" w:w="312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pPr>
              <w:jc w:val="left"/>
            </w:pPr>
            <w:r>
              <w:rPr>
                <w:rFonts w:ascii="Calibri" w:cs="Calibri" w:eastAsia="Calibri" w:hAnsi="Calibri"/>
                <w:b/>
                <w:bCs/>
                <w:color w:val="FFFFFF"/>
                <w:sz w:val="20"/>
                <w:szCs w:val="20"/>
              </w:rPr>
              <w:t xml:space="preserve">Tier</w:t>
            </w:r>
          </w:p>
        </w:tc>
        <w:tc>
          <w:tcPr>
            <w:tcW w:type="dxa" w:w="384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pPr>
              <w:jc w:val="left"/>
            </w:pPr>
            <w:r>
              <w:rPr>
                <w:rFonts w:ascii="Calibri" w:cs="Calibri" w:eastAsia="Calibri" w:hAnsi="Calibri"/>
                <w:b/>
                <w:bCs/>
                <w:color w:val="FFFFFF"/>
                <w:sz w:val="20"/>
                <w:szCs w:val="20"/>
              </w:rPr>
              <w:t xml:space="preserve">Hardware</w:t>
            </w:r>
          </w:p>
        </w:tc>
        <w:tc>
          <w:tcPr>
            <w:tcW w:type="dxa" w:w="240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pPr>
              <w:jc w:val="left"/>
            </w:pPr>
            <w:r>
              <w:rPr>
                <w:rFonts w:ascii="Calibri" w:cs="Calibri" w:eastAsia="Calibri" w:hAnsi="Calibri"/>
                <w:b/>
                <w:bCs/>
                <w:color w:val="FFFFFF"/>
                <w:sz w:val="20"/>
                <w:szCs w:val="20"/>
              </w:rPr>
              <w:t xml:space="preserve">Est. Speed</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CPU Low</w:t>
            </w:r>
          </w:p>
        </w:tc>
        <w:tc>
          <w:tcPr>
            <w:tcW w:type="dxa" w:w="384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4-8GB RAM</w:t>
            </w:r>
          </w:p>
        </w:tc>
        <w:tc>
          <w:tcPr>
            <w:tcW w:type="dxa" w:w="2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5-12 tok/s</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CPU Mid</w:t>
            </w:r>
          </w:p>
        </w:tc>
        <w:tc>
          <w:tcPr>
            <w:tcW w:type="dxa" w:w="384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8-16GB RAM</w:t>
            </w:r>
          </w:p>
        </w:tc>
        <w:tc>
          <w:tcPr>
            <w:tcW w:type="dxa" w:w="2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3-8 tok/s</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GPU Entry</w:t>
            </w:r>
          </w:p>
        </w:tc>
        <w:tc>
          <w:tcPr>
            <w:tcW w:type="dxa" w:w="384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4-6GB VRAM (RTX 3060)</w:t>
            </w:r>
          </w:p>
        </w:tc>
        <w:tc>
          <w:tcPr>
            <w:tcW w:type="dxa" w:w="2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20-40 tok/s</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GPU Mid</w:t>
            </w:r>
          </w:p>
        </w:tc>
        <w:tc>
          <w:tcPr>
            <w:tcW w:type="dxa" w:w="384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8-12GB VRAM (RTX 3080)</w:t>
            </w:r>
          </w:p>
        </w:tc>
        <w:tc>
          <w:tcPr>
            <w:tcW w:type="dxa" w:w="2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30-60 tok/s</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GPU High</w:t>
            </w:r>
          </w:p>
        </w:tc>
        <w:tc>
          <w:tcPr>
            <w:tcW w:type="dxa" w:w="384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16-24GB VRAM (RTX 3090/4090)</w:t>
            </w:r>
          </w:p>
        </w:tc>
        <w:tc>
          <w:tcPr>
            <w:tcW w:type="dxa" w:w="2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40-80 tok/s</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GPU Extreme</w:t>
            </w:r>
          </w:p>
        </w:tc>
        <w:tc>
          <w:tcPr>
            <w:tcW w:type="dxa" w:w="384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24-80GB VRAM (A6000/H100)</w:t>
            </w:r>
          </w:p>
        </w:tc>
        <w:tc>
          <w:tcPr>
            <w:tcW w:type="dxa" w:w="2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30-120 tok/s</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Server</w:t>
            </w:r>
          </w:p>
        </w:tc>
        <w:tc>
          <w:tcPr>
            <w:tcW w:type="dxa" w:w="384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80GB+ VRAM (A100/H100)</w:t>
            </w:r>
          </w:p>
        </w:tc>
        <w:tc>
          <w:tcPr>
            <w:tcW w:type="dxa" w:w="2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15-150 tok/s</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Apple Silicon</w:t>
            </w:r>
          </w:p>
        </w:tc>
        <w:tc>
          <w:tcPr>
            <w:tcW w:type="dxa" w:w="384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M1/M2/M3/M4</w:t>
            </w:r>
          </w:p>
        </w:tc>
        <w:tc>
          <w:tcPr>
            <w:tcW w:type="dxa" w:w="2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20-60 tok/s</w:t>
            </w:r>
          </w:p>
        </w:tc>
      </w:tr>
    </w:tbl>
    <w:p>
      <w:r>
        <w:t xml:space="preserve"/>
      </w:r>
    </w:p>
    <w:p>
      <w:pPr>
        <w:pStyle w:val="Heading1"/>
        <w:spacing w:after="200" w:before="400"/>
      </w:pPr>
      <w:r>
        <w:rPr>
          <w:rFonts w:ascii="Calibri" w:cs="Calibri" w:eastAsia="Calibri" w:hAnsi="Calibri"/>
          <w:b/>
          <w:bCs/>
          <w:color w:val="1E40AF"/>
          <w:sz w:val="40"/>
          <w:szCs w:val="40"/>
        </w:rPr>
        <w:t xml:space="preserve">6. Roadmap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5760"/>
        <w:gridCol w:w="2040"/>
      </w:tblGrid>
      <w:tr>
        <w:tc>
          <w:tcPr>
            <w:tcW w:type="dxa" w:w="156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pPr>
              <w:jc w:val="left"/>
            </w:pPr>
            <w:r>
              <w:rPr>
                <w:rFonts w:ascii="Calibri" w:cs="Calibri" w:eastAsia="Calibri" w:hAnsi="Calibri"/>
                <w:b/>
                <w:bCs/>
                <w:color w:val="FFFFFF"/>
                <w:sz w:val="20"/>
                <w:szCs w:val="20"/>
              </w:rPr>
              <w:t xml:space="preserve">Quarter</w:t>
            </w:r>
          </w:p>
        </w:tc>
        <w:tc>
          <w:tcPr>
            <w:tcW w:type="dxa" w:w="576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pPr>
              <w:jc w:val="left"/>
            </w:pPr>
            <w:r>
              <w:rPr>
                <w:rFonts w:ascii="Calibri" w:cs="Calibri" w:eastAsia="Calibri" w:hAnsi="Calibri"/>
                <w:b/>
                <w:bCs/>
                <w:color w:val="FFFFFF"/>
                <w:sz w:val="20"/>
                <w:szCs w:val="20"/>
              </w:rPr>
              <w:t xml:space="preserve">Milestone</w:t>
            </w:r>
          </w:p>
        </w:tc>
        <w:tc>
          <w:tcPr>
            <w:tcW w:type="dxa" w:w="2040"/>
            <w:tcBorders>
              <w:top w:val="single" w:color="CBD5E1" w:sz="1"/>
              <w:left w:val="single" w:color="CBD5E1" w:sz="1"/>
              <w:bottom w:val="single" w:color="CBD5E1" w:sz="1"/>
              <w:right w:val="single" w:color="CBD5E1" w:sz="1"/>
            </w:tcBorders>
            <w:shd w:fill="1E3A5F" w:val="clear"/>
            <w:tcMar>
              <w:top w:type="dxa" w:w="80"/>
              <w:left w:type="dxa" w:w="120"/>
              <w:bottom w:type="dxa" w:w="80"/>
              <w:right w:type="dxa" w:w="120"/>
            </w:tcMar>
          </w:tcPr>
          <w:p>
            <w:pPr>
              <w:jc w:val="left"/>
            </w:pPr>
            <w:r>
              <w:rPr>
                <w:rFonts w:ascii="Calibri" w:cs="Calibri" w:eastAsia="Calibri" w:hAnsi="Calibri"/>
                <w:b/>
                <w:bCs/>
                <w:color w:val="FFFFFF"/>
                <w:sz w:val="20"/>
                <w:szCs w:val="20"/>
              </w:rPr>
              <w:t xml:space="preserve">Status</w:t>
            </w:r>
          </w:p>
        </w:tc>
      </w:tr>
      <w:tr>
        <w:tc>
          <w:tcPr>
            <w:tcW w:type="dxa" w:w="15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Q1 2026</w:t>
            </w:r>
          </w:p>
        </w:tc>
        <w:tc>
          <w:tcPr>
            <w:tcW w:type="dxa" w:w="5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Token launch, marketplace MVP, ICO platform, referrals</w:t>
            </w:r>
          </w:p>
        </w:tc>
        <w:tc>
          <w:tcPr>
            <w:tcW w:type="dxa" w:w="204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 Complete</w:t>
            </w:r>
          </w:p>
        </w:tc>
      </w:tr>
      <w:tr>
        <w:tc>
          <w:tcPr>
            <w:tcW w:type="dxa" w:w="15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Q2 2026</w:t>
            </w:r>
          </w:p>
        </w:tc>
        <w:tc>
          <w:tcPr>
            <w:tcW w:type="dxa" w:w="5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dcentai-runtime, TPM attestation, hardware tiers</w:t>
            </w:r>
          </w:p>
        </w:tc>
        <w:tc>
          <w:tcPr>
            <w:tcW w:type="dxa" w:w="204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 In Progress</w:t>
            </w:r>
          </w:p>
        </w:tc>
      </w:tr>
      <w:tr>
        <w:tc>
          <w:tcPr>
            <w:tcW w:type="dxa" w:w="15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Q3 2026</w:t>
            </w:r>
          </w:p>
        </w:tc>
        <w:tc>
          <w:tcPr>
            <w:tcW w:type="dxa" w:w="5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Referral rewards, DEX listing, reputation system</w:t>
            </w:r>
          </w:p>
        </w:tc>
        <w:tc>
          <w:tcPr>
            <w:tcW w:type="dxa" w:w="204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Planned</w:t>
            </w:r>
          </w:p>
        </w:tc>
      </w:tr>
      <w:tr>
        <w:tc>
          <w:tcPr>
            <w:tcW w:type="dxa" w:w="15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Q4 2026</w:t>
            </w:r>
          </w:p>
        </w:tc>
        <w:tc>
          <w:tcPr>
            <w:tcW w:type="dxa" w:w="5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DAO governance, image/voice AI, CEX listings</w:t>
            </w:r>
          </w:p>
        </w:tc>
        <w:tc>
          <w:tcPr>
            <w:tcW w:type="dxa" w:w="204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Calibri" w:cs="Calibri" w:eastAsia="Calibri" w:hAnsi="Calibri"/>
                <w:b w:val="false"/>
                <w:bCs w:val="false"/>
                <w:color w:val="1F2937"/>
                <w:sz w:val="20"/>
                <w:szCs w:val="20"/>
              </w:rPr>
              <w:t xml:space="preserve">Planned</w:t>
            </w:r>
          </w:p>
        </w:tc>
      </w:tr>
    </w:tbl>
    <w:p>
      <w:r>
        <w:t xml:space="preserve"/>
      </w:r>
    </w:p>
    <w:p>
      <w:pPr>
        <w:pStyle w:val="Heading1"/>
        <w:spacing w:after="200" w:before="400"/>
      </w:pPr>
      <w:r>
        <w:rPr>
          <w:rFonts w:ascii="Calibri" w:cs="Calibri" w:eastAsia="Calibri" w:hAnsi="Calibri"/>
          <w:b/>
          <w:bCs/>
          <w:color w:val="1E40AF"/>
          <w:sz w:val="40"/>
          <w:szCs w:val="40"/>
        </w:rPr>
        <w:t xml:space="preserve">7. Legal Disclaimer</w:t>
      </w:r>
    </w:p>
    <w:p>
      <w:pPr>
        <w:spacing w:after="80" w:before="80"/>
        <w:jc w:val="both"/>
      </w:pPr>
      <w:r>
        <w:rPr>
          <w:rFonts w:ascii="Calibri" w:cs="Calibri" w:eastAsia="Calibri" w:hAnsi="Calibri"/>
          <w:i/>
          <w:iCs/>
          <w:color w:val="6B7280"/>
          <w:sz w:val="22"/>
          <w:szCs w:val="22"/>
        </w:rPr>
        <w:t xml:space="preserve">This whitepaper is for informational purposes only and does not constitute an offer to sell or solicitation to buy securities. DECNT tokens are utility tokens providing network access. Participation involves significant risk. Always conduct independent due diligence.</w:t>
      </w:r>
    </w:p>
    <w:p>
      <w:r>
        <w:t xml:space="preserve"/>
      </w:r>
    </w:p>
    <w:p>
      <w:pPr>
        <w:jc w:val="center"/>
      </w:pPr>
      <w:r>
        <w:rPr>
          <w:rFonts w:ascii="Calibri" w:cs="Calibri" w:eastAsia="Calibri" w:hAnsi="Calibri"/>
          <w:b/>
          <w:bCs/>
          <w:color w:val="1E40AF"/>
          <w:sz w:val="24"/>
          <w:szCs w:val="24"/>
        </w:rPr>
        <w:t xml:space="preserve">DEcentAI — The future of AI belongs to everyone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Calibri" w:cs="Calibri" w:eastAsia="Calibri" w:hAnsi="Calibri"/>
      <w:b/>
      <w:bCs/>
      <w:color w:val="1E40AF"/>
      <w:sz w:val="40"/>
      <w:szCs w:val="40"/>
    </w:rPr>
  </w:style>
  <w:style w:type="paragraph" w:styleId="Heading2">
    <w:name w:val="Heading 2"/>
    <w:basedOn w:val="Normal"/>
    <w:next w:val="Normal"/>
    <w:qFormat/>
    <w:pPr>
      <w:spacing w:after="160" w:before="300"/>
      <w:outlineLvl w:val="1"/>
    </w:pPr>
    <w:rPr>
      <w:rFonts w:ascii="Calibri" w:cs="Calibri" w:eastAsia="Calibri" w:hAnsi="Calibri"/>
      <w:b/>
      <w:bCs/>
      <w:color w:val="0891B2"/>
      <w:sz w:val="30"/>
      <w:szCs w:val="30"/>
    </w:rPr>
  </w:style>
  <w:style w:type="paragraph" w:styleId="Heading3">
    <w:name w:val="Heading 3"/>
    <w:basedOn w:val="Normal"/>
    <w:next w:val="Normal"/>
    <w:qFormat/>
    <w:pPr>
      <w:spacing w:after="100" w:before="200"/>
      <w:outlineLvl w:val="2"/>
    </w:pPr>
    <w:rPr>
      <w:rFonts w:ascii="Calibri" w:cs="Calibri" w:eastAsia="Calibri" w:hAnsi="Calibri"/>
      <w:b/>
      <w:bCs/>
      <w:color w:val="065F4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2026-04-05T19:29:47.859Z</dcterms:created>
  <dcterms:modified xsi:type="dcterms:W3CDTF">2026-04-05T19:29:47.860Z</dcterms:modified>
</cp:coreProperties>
</file>

<file path=docProps/custom.xml><?xml version="1.0" encoding="utf-8"?>
<Properties xmlns="http://schemas.openxmlformats.org/officeDocument/2006/custom-properties" xmlns:vt="http://schemas.openxmlformats.org/officeDocument/2006/docPropsVTypes"/>
</file>